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4"/>
        <w:gridCol w:w="4266"/>
      </w:tblGrid>
      <w:tr w:rsidR="00B95DB7" w:rsidRPr="00347A50" w:rsidTr="001811B4">
        <w:tc>
          <w:tcPr>
            <w:tcW w:w="9350" w:type="dxa"/>
            <w:gridSpan w:val="2"/>
            <w:shd w:val="clear" w:color="auto" w:fill="595959" w:themeFill="text1" w:themeFillTint="A6"/>
          </w:tcPr>
          <w:p w:rsidR="00B95DB7" w:rsidRPr="001811B4" w:rsidRDefault="00B95DB7" w:rsidP="00347A50">
            <w:pPr>
              <w:spacing w:after="0" w:line="240" w:lineRule="auto"/>
              <w:rPr>
                <w:rFonts w:eastAsia="Times New Roman" w:cs="Calibri"/>
                <w:b/>
                <w:bCs/>
                <w:smallCaps/>
                <w:color w:val="FFFFFF" w:themeColor="background1"/>
                <w:sz w:val="24"/>
                <w:szCs w:val="24"/>
              </w:rPr>
            </w:pPr>
            <w:bookmarkStart w:id="0" w:name="_GoBack"/>
            <w:bookmarkEnd w:id="0"/>
            <w:r w:rsidRPr="001811B4">
              <w:rPr>
                <w:rFonts w:eastAsia="Times New Roman" w:cs="Calibri"/>
                <w:b/>
                <w:bCs/>
                <w:smallCaps/>
                <w:color w:val="FFFFFF" w:themeColor="background1"/>
                <w:sz w:val="24"/>
                <w:szCs w:val="24"/>
              </w:rPr>
              <w:t>Addendum to ANNEX B – Responses to the Comments of the STAP and GEF Council to the for the Mediterranean Sea Programme (MedProgramme): Enhancing Environmental Security (GEF ID: 9607)</w:t>
            </w:r>
          </w:p>
          <w:p w:rsidR="00B95DB7" w:rsidRPr="00B40B51" w:rsidRDefault="00B95DB7" w:rsidP="00347A50">
            <w:pPr>
              <w:spacing w:after="0" w:line="240" w:lineRule="auto"/>
              <w:rPr>
                <w:rFonts w:eastAsia="Times New Roman" w:cs="Calibri"/>
                <w:b/>
                <w:bCs/>
                <w:iCs/>
                <w:color w:val="000000"/>
              </w:rPr>
            </w:pPr>
          </w:p>
        </w:tc>
      </w:tr>
      <w:tr w:rsidR="00B95DB7" w:rsidRPr="00347A50" w:rsidTr="001811B4">
        <w:tc>
          <w:tcPr>
            <w:tcW w:w="9350" w:type="dxa"/>
            <w:gridSpan w:val="2"/>
            <w:shd w:val="clear" w:color="auto" w:fill="A6A6A6" w:themeFill="background1" w:themeFillShade="A6"/>
          </w:tcPr>
          <w:p w:rsidR="00B95DB7" w:rsidRPr="00B95DB7" w:rsidRDefault="00B95DB7" w:rsidP="00347A50">
            <w:pPr>
              <w:spacing w:after="0" w:line="240" w:lineRule="auto"/>
              <w:rPr>
                <w:rFonts w:eastAsia="Times New Roman" w:cs="Calibri"/>
                <w:b/>
                <w:bCs/>
                <w:color w:val="000000"/>
                <w:sz w:val="26"/>
                <w:szCs w:val="26"/>
              </w:rPr>
            </w:pPr>
          </w:p>
          <w:p w:rsidR="00B95DB7" w:rsidRPr="00B40B51" w:rsidRDefault="00B95DB7" w:rsidP="00347A50">
            <w:pPr>
              <w:spacing w:after="0" w:line="240" w:lineRule="auto"/>
              <w:rPr>
                <w:rFonts w:eastAsia="Times New Roman" w:cs="Calibri"/>
                <w:b/>
                <w:bCs/>
                <w:iCs/>
                <w:color w:val="000000"/>
              </w:rPr>
            </w:pPr>
            <w:r w:rsidRPr="00B95DB7">
              <w:rPr>
                <w:rFonts w:eastAsia="Times New Roman" w:cs="Calibri"/>
                <w:b/>
                <w:bCs/>
                <w:color w:val="000000"/>
                <w:sz w:val="26"/>
                <w:szCs w:val="26"/>
              </w:rPr>
              <w:t>STAP Review</w:t>
            </w:r>
            <w:r w:rsidRPr="00B40B51">
              <w:rPr>
                <w:rFonts w:eastAsia="Times New Roman" w:cs="Calibri"/>
                <w:b/>
                <w:bCs/>
                <w:color w:val="000000"/>
              </w:rPr>
              <w:t xml:space="preserve"> </w:t>
            </w:r>
          </w:p>
        </w:tc>
      </w:tr>
      <w:tr w:rsidR="00B95DB7" w:rsidRPr="00B40B51" w:rsidTr="001811B4">
        <w:tc>
          <w:tcPr>
            <w:tcW w:w="5084" w:type="dxa"/>
            <w:shd w:val="clear" w:color="auto" w:fill="D9D9D9" w:themeFill="background1" w:themeFillShade="D9"/>
          </w:tcPr>
          <w:p w:rsidR="00B95DB7" w:rsidRDefault="00B95DB7" w:rsidP="00347A50">
            <w:pPr>
              <w:spacing w:after="0" w:line="240" w:lineRule="auto"/>
              <w:rPr>
                <w:rStyle w:val="CommentReference"/>
                <w:rFonts w:eastAsia="Times New Roman" w:cs="Calibri"/>
                <w:b/>
                <w:sz w:val="22"/>
                <w:szCs w:val="22"/>
                <w:lang w:eastAsia="x-none"/>
              </w:rPr>
            </w:pPr>
          </w:p>
          <w:p w:rsidR="00B95DB7" w:rsidRPr="00B95DB7" w:rsidRDefault="00B95DB7" w:rsidP="00347A50">
            <w:pPr>
              <w:spacing w:after="0" w:line="240" w:lineRule="auto"/>
              <w:rPr>
                <w:rStyle w:val="CommentReference"/>
                <w:rFonts w:eastAsia="Times New Roman" w:cs="Calibri"/>
                <w:b/>
                <w:sz w:val="22"/>
                <w:szCs w:val="22"/>
                <w:lang w:eastAsia="x-none"/>
              </w:rPr>
            </w:pPr>
            <w:r w:rsidRPr="00B95DB7">
              <w:rPr>
                <w:rStyle w:val="CommentReference"/>
                <w:rFonts w:eastAsia="Times New Roman" w:cs="Calibri"/>
                <w:b/>
                <w:sz w:val="22"/>
                <w:szCs w:val="22"/>
                <w:lang w:eastAsia="x-none"/>
              </w:rPr>
              <w:t>C</w:t>
            </w:r>
            <w:r w:rsidRPr="00B95DB7">
              <w:rPr>
                <w:rStyle w:val="CommentReference"/>
                <w:b/>
                <w:sz w:val="22"/>
                <w:szCs w:val="22"/>
                <w:lang w:eastAsia="x-none"/>
              </w:rPr>
              <w:t>omments</w:t>
            </w:r>
          </w:p>
        </w:tc>
        <w:tc>
          <w:tcPr>
            <w:tcW w:w="4266" w:type="dxa"/>
            <w:shd w:val="clear" w:color="auto" w:fill="D9D9D9" w:themeFill="background1" w:themeFillShade="D9"/>
          </w:tcPr>
          <w:p w:rsidR="00B95DB7" w:rsidRDefault="00B95DB7" w:rsidP="00347A50">
            <w:pPr>
              <w:spacing w:after="0" w:line="240" w:lineRule="auto"/>
              <w:rPr>
                <w:rFonts w:eastAsia="Times New Roman" w:cs="Calibri"/>
                <w:b/>
                <w:iCs/>
                <w:color w:val="000000"/>
              </w:rPr>
            </w:pPr>
          </w:p>
          <w:p w:rsidR="00B95DB7" w:rsidRPr="00B95DB7" w:rsidRDefault="00B95DB7" w:rsidP="00347A50">
            <w:pPr>
              <w:spacing w:after="0" w:line="240" w:lineRule="auto"/>
              <w:rPr>
                <w:rFonts w:eastAsia="Times New Roman" w:cs="Calibri"/>
                <w:b/>
                <w:iCs/>
                <w:color w:val="000000"/>
              </w:rPr>
            </w:pPr>
            <w:r w:rsidRPr="00B95DB7">
              <w:rPr>
                <w:rFonts w:eastAsia="Times New Roman" w:cs="Calibri"/>
                <w:b/>
                <w:iCs/>
                <w:color w:val="000000"/>
              </w:rPr>
              <w:t>Response</w:t>
            </w:r>
          </w:p>
        </w:tc>
      </w:tr>
      <w:tr w:rsidR="00B95DB7" w:rsidRPr="00B40B51" w:rsidTr="00B95DB7">
        <w:tc>
          <w:tcPr>
            <w:tcW w:w="5084" w:type="dxa"/>
            <w:shd w:val="clear" w:color="auto" w:fill="auto"/>
          </w:tcPr>
          <w:p w:rsidR="00B95DB7" w:rsidRPr="00B40B51" w:rsidRDefault="00B95DB7" w:rsidP="00347A50">
            <w:pPr>
              <w:spacing w:after="0" w:line="240" w:lineRule="auto"/>
              <w:rPr>
                <w:rStyle w:val="CommentReference"/>
                <w:rFonts w:eastAsia="Times New Roman" w:cs="Calibri"/>
                <w:sz w:val="20"/>
                <w:szCs w:val="20"/>
                <w:lang w:val="x-none" w:eastAsia="x-none"/>
              </w:rPr>
            </w:pPr>
            <w:r w:rsidRPr="00E50636">
              <w:rPr>
                <w:rStyle w:val="CommentReference"/>
                <w:rFonts w:eastAsia="Times New Roman" w:cs="Calibri"/>
                <w:sz w:val="20"/>
                <w:szCs w:val="20"/>
                <w:lang w:val="x-none" w:eastAsia="x-none"/>
              </w:rPr>
              <w:t>The need for the proposed Programme is understood by STAP to be a demand for a coordinating mechanism for the implementation of actions identified through the MedPartnership project.</w:t>
            </w:r>
          </w:p>
        </w:tc>
        <w:tc>
          <w:tcPr>
            <w:tcW w:w="4266" w:type="dxa"/>
            <w:shd w:val="clear" w:color="auto" w:fill="auto"/>
          </w:tcPr>
          <w:p w:rsidR="00B95DB7" w:rsidRPr="00E50636"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The actions that will be addressed in the MedProgramme were defined by the Countries after a long and complex participatory TDA-SAP process leading to the National Action Plans where all the major stakeholders at national level were involved along with the major decision makers and political institutions. The MedPartnership was instrumental in supporting the final phase of this process in order to ensure that the NAPs were developed by the countries in a coordinated and efficient sound manner.</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B40B51">
              <w:rPr>
                <w:rFonts w:eastAsia="Times New Roman" w:cs="Calibri"/>
                <w:color w:val="000000"/>
                <w:sz w:val="20"/>
                <w:szCs w:val="20"/>
              </w:rPr>
              <w:t>The updating of the TDA proposed in Child Project 1.1 should not be permitted to distract from the implementation of the two agreed SAPs and various NAPs.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It will not, activities which address the SAPs and NAPs will be mainly implemented under CP1.2, 1.3, 2.1, 2.2 and 3.1. The CP 1.1 will work on POP and Hg, moreover it will ensure to put in place all the diagnostic tools that can help us to measure the progress to impact; being the updated TDA one of those.</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It is not clear from the PFD that the child projects proposed have been designed in a participatory manner with national and local stakeholders, particularly with civil society representatives and community groups. The PFD still reads as largely a top-down document and proponents need to address this deficit, regarding roles, responsibilities and accountabilities of stakeholders especially at sub-national level.</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 xml:space="preserve">As stated in the STAP “the Programme followed the successful implementation of the MedPartnership”. The MedProgramme has been developed by request </w:t>
            </w:r>
            <w:proofErr w:type="spellStart"/>
            <w:r w:rsidRPr="00E50636">
              <w:rPr>
                <w:rFonts w:eastAsia="Times New Roman" w:cs="Calibri"/>
                <w:iCs/>
                <w:color w:val="000000"/>
                <w:sz w:val="20"/>
                <w:szCs w:val="20"/>
              </w:rPr>
              <w:t>fo</w:t>
            </w:r>
            <w:proofErr w:type="spellEnd"/>
            <w:r w:rsidRPr="00E50636">
              <w:rPr>
                <w:rFonts w:eastAsia="Times New Roman" w:cs="Calibri"/>
                <w:iCs/>
                <w:color w:val="000000"/>
                <w:sz w:val="20"/>
                <w:szCs w:val="20"/>
              </w:rPr>
              <w:t xml:space="preserve"> the countries and with an approach that considers all the major stakeholders who will be instrumental to the implementation of the proposed activities. For example, for the investment component, both EIB and EBRD, will use the NAPs which has been endorsed at national level with a bottom-up approach involving a wide number of stakeholders at national and local level. The same applies to the conjunctive surface and groundwater management which will be implemented in those countries that recognized its importance through processes which involved (under the MedPartnership) the main stakeholders.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 xml:space="preserve">It is not clear from the PFD that the child projects proposed have been designed in a participatory manner with national and local stakeholders, particularly with civil society representatives and community groups. The PFD still reads as largely a top-down document and proponents need to address this deficit, regarding roles, responsibilities and </w:t>
            </w:r>
            <w:r w:rsidRPr="00E50636">
              <w:rPr>
                <w:rFonts w:eastAsia="Times New Roman" w:cs="Calibri"/>
                <w:color w:val="000000"/>
                <w:sz w:val="20"/>
                <w:szCs w:val="20"/>
              </w:rPr>
              <w:lastRenderedPageBreak/>
              <w:t>accountabilities of stakeholders especially at sub-national level.</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lastRenderedPageBreak/>
              <w:t xml:space="preserve">As stated in the STAP “the Programme followed the successful implementation of the MedPartnership”. The MedProgramme has been developed by request of the countries and with an approach that considers all the major stakeholders who will be instrumental to the implementation of the proposed activities. For </w:t>
            </w:r>
            <w:r w:rsidRPr="00E50636">
              <w:rPr>
                <w:rFonts w:eastAsia="Times New Roman" w:cs="Calibri"/>
                <w:iCs/>
                <w:color w:val="000000"/>
                <w:sz w:val="20"/>
                <w:szCs w:val="20"/>
              </w:rPr>
              <w:lastRenderedPageBreak/>
              <w:t>example, for the investment component, both EIB and EBRD, will use the NAPs which has been endorsed at national level with a bottom-up approach involving a wide number of stakeholders at national and local level. The same applies to the conjunctive surface and groundwater management which will be implemented in those countries that recognized its importance through processes which involved (under the MedPartnership) the main stakeholders.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lastRenderedPageBreak/>
              <w:t>Therefore, the entire Programme design should provide for sufficient flexibility and appropriate adaptive management strategies to counteract political instability and continuously changing circumstances of the countries in the Mediterranean region</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The adaptive management strategy at the MedProgramme level relies on one major tool, the Annual Stocktaking Meetings, part of CP 4.1 (output 2.2). Through these major meetings all issues of concern related to changes in political will or instability in the recipient countries will become manifest and allow for timely adaptive management responses at both the Child Project and at the Program levels.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During the further preparation of the Programme and its individual projects, STAP strongly recommends using a common analytical approach using scenarios to explore possible futures and identify specific intervention points for most impactful programme/project interventions.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Done. In the selection of the many hot spots addressed by MedProgramme, a homogeneous approach has been adopted including future scenarios, whenever necessary.</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Ecosystem-based adaptation solutions could be explored.</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Done. Nature based solutions, and circular economy approaches inform a number of CPs, in Particular CP 1.2 and 2.1.</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Recognizing the current regional security context, STAP recommends developing further cooperative and transboundary infrastructure to protect human security of refugees and migrants by e.g., supporting livelihoods diversification among human traffickers.</w:t>
            </w:r>
          </w:p>
        </w:tc>
        <w:tc>
          <w:tcPr>
            <w:tcW w:w="4266" w:type="dxa"/>
            <w:shd w:val="clear" w:color="auto" w:fill="auto"/>
          </w:tcPr>
          <w:p w:rsidR="00B95DB7" w:rsidRPr="00E50636"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The implementing and executing partners of the MedProgramme fully recognize such much needed actions, however based on discussion with the GEF Secretariat during the development phase such kind of actions do not seem to be under GEF mandate.</w:t>
            </w:r>
          </w:p>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Nevertheless, we believe that by increasing environmental security, the MedProgramme will indirectly strive improve the conditions of migrants, and regional stability.</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624489">
              <w:rPr>
                <w:rFonts w:eastAsia="Times New Roman" w:cs="Calibri"/>
                <w:color w:val="000000"/>
                <w:sz w:val="20"/>
                <w:szCs w:val="20"/>
              </w:rPr>
              <w:t>Many of the Programme interventions are best described in the framework of the Source to Sea concept. Programme proponents are advised to consult the recently released Source to Sea conceptual framework to consolidate and design further often loosely connected activities of the Programme (available at: http://www.thegef.org/council-meeting-documents/conceptual-framework-governing-and-managing-key-flows-source-sea-continuum).</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624489">
              <w:rPr>
                <w:rFonts w:eastAsia="Times New Roman" w:cs="Calibri"/>
                <w:iCs/>
                <w:color w:val="000000"/>
                <w:sz w:val="20"/>
                <w:szCs w:val="20"/>
              </w:rPr>
              <w:t>The source to sea conceptual framework, coupled with the GPA guidelines, has clearly inspired the MedProgramme design, which builds on the 40 years’ experience, data, information and country ownership produced by the Barcelona Convention.</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624489">
              <w:rPr>
                <w:rFonts w:eastAsia="Times New Roman" w:cs="Calibri"/>
                <w:color w:val="000000"/>
                <w:sz w:val="20"/>
                <w:szCs w:val="20"/>
              </w:rPr>
              <w:t>A priority not dealt with in Component 4 is provision of support to participating countries to incentivize application of IMAP to policy reform or implementation.</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624489">
              <w:rPr>
                <w:rFonts w:eastAsia="Times New Roman" w:cs="Calibri"/>
                <w:iCs/>
                <w:color w:val="000000"/>
                <w:sz w:val="20"/>
                <w:szCs w:val="20"/>
              </w:rPr>
              <w:t>The IMAP has been endorsed by the Contracting Parties to the BC in February 2016. All the countries made provision for its implementation at national level. The intention of the MedProgramme is to support and coordinate part of this process at regional level. This will happen especially under CP1.1. Moreover, CP4.1 will implement a KM Strategy which on top of bring benefit to the Programme is also helping the countries to manage the data and information produced by the child project and transfer them, as needed, to the Barcelona Convention IMAP process.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624489">
              <w:rPr>
                <w:rFonts w:eastAsia="Times New Roman" w:cs="Calibri"/>
                <w:color w:val="000000"/>
                <w:sz w:val="20"/>
                <w:szCs w:val="20"/>
              </w:rPr>
              <w:t>The PFD does not provide substantive evidence of ownership (the word is missing from the entire document), beyond the formal country endorsements, and as is the case with regional projects in general, an emphasis on the demand side needs to be more fully demonstrated, especially for the proposed child projects.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624489">
              <w:rPr>
                <w:rFonts w:eastAsia="Times New Roman" w:cs="Calibri"/>
                <w:iCs/>
                <w:color w:val="000000"/>
                <w:sz w:val="20"/>
                <w:szCs w:val="20"/>
              </w:rPr>
              <w:t xml:space="preserve">On the contrary, the Programme builds on over 20 years of GEF IW involvement in supporting the TDA-SAP-NAPs process, and on the actions of the Barcelona Convention and of its Regional Activities </w:t>
            </w:r>
            <w:proofErr w:type="spellStart"/>
            <w:r w:rsidRPr="00624489">
              <w:rPr>
                <w:rFonts w:eastAsia="Times New Roman" w:cs="Calibri"/>
                <w:iCs/>
                <w:color w:val="000000"/>
                <w:sz w:val="20"/>
                <w:szCs w:val="20"/>
              </w:rPr>
              <w:t>Centres</w:t>
            </w:r>
            <w:proofErr w:type="spellEnd"/>
            <w:r w:rsidRPr="00624489">
              <w:rPr>
                <w:rFonts w:eastAsia="Times New Roman" w:cs="Calibri"/>
                <w:iCs/>
                <w:color w:val="000000"/>
                <w:sz w:val="20"/>
                <w:szCs w:val="20"/>
              </w:rPr>
              <w:t>. This has ensured a level of country ownership rarely achieved in previous efforts globally.</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B40B51">
              <w:rPr>
                <w:rFonts w:eastAsia="Times New Roman" w:cs="Calibri"/>
                <w:color w:val="000000"/>
                <w:sz w:val="20"/>
                <w:szCs w:val="20"/>
              </w:rPr>
              <w:t xml:space="preserve">There should also be consideration of potential non industrial sources of POPs and other toxic chemicals, and seeking out of the potential role of Integrated Pest Management (IPM) techniques to </w:t>
            </w:r>
            <w:proofErr w:type="spellStart"/>
            <w:r w:rsidRPr="00B40B51">
              <w:rPr>
                <w:rFonts w:eastAsia="Times New Roman" w:cs="Calibri"/>
                <w:color w:val="000000"/>
                <w:sz w:val="20"/>
                <w:szCs w:val="20"/>
              </w:rPr>
              <w:t>minimise</w:t>
            </w:r>
            <w:proofErr w:type="spellEnd"/>
            <w:r w:rsidRPr="00B40B51">
              <w:rPr>
                <w:rFonts w:eastAsia="Times New Roman" w:cs="Calibri"/>
                <w:color w:val="000000"/>
                <w:sz w:val="20"/>
                <w:szCs w:val="20"/>
              </w:rPr>
              <w:t xml:space="preserve"> use of pesticides in agriculture, horticulture, general pest control, vector control, structural preservation treatments and others.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B40B51">
              <w:rPr>
                <w:rFonts w:eastAsia="Times New Roman" w:cs="Calibri"/>
                <w:iCs/>
                <w:color w:val="000000"/>
                <w:sz w:val="20"/>
                <w:szCs w:val="20"/>
              </w:rPr>
              <w:t xml:space="preserve">The Chemicals and Waste component addresses non-industrial use of PFOS by </w:t>
            </w:r>
            <w:proofErr w:type="spellStart"/>
            <w:r w:rsidRPr="00B40B51">
              <w:rPr>
                <w:rFonts w:eastAsia="Times New Roman" w:cs="Calibri"/>
                <w:iCs/>
                <w:color w:val="000000"/>
                <w:sz w:val="20"/>
                <w:szCs w:val="20"/>
              </w:rPr>
              <w:t>fire fighting</w:t>
            </w:r>
            <w:proofErr w:type="spellEnd"/>
            <w:r w:rsidRPr="00B40B51">
              <w:rPr>
                <w:rFonts w:eastAsia="Times New Roman" w:cs="Calibri"/>
                <w:iCs/>
                <w:color w:val="000000"/>
                <w:sz w:val="20"/>
                <w:szCs w:val="20"/>
              </w:rPr>
              <w:t xml:space="preserve"> services, in line with the priorities expressed by countries in their NIPs. Country NIPs do not </w:t>
            </w:r>
            <w:proofErr w:type="spellStart"/>
            <w:r w:rsidRPr="00B40B51">
              <w:rPr>
                <w:rFonts w:eastAsia="Times New Roman" w:cs="Calibri"/>
                <w:iCs/>
                <w:color w:val="000000"/>
                <w:sz w:val="20"/>
                <w:szCs w:val="20"/>
              </w:rPr>
              <w:t>prioririze</w:t>
            </w:r>
            <w:proofErr w:type="spellEnd"/>
            <w:r w:rsidRPr="00B40B51">
              <w:rPr>
                <w:rFonts w:eastAsia="Times New Roman" w:cs="Calibri"/>
                <w:iCs/>
                <w:color w:val="000000"/>
                <w:sz w:val="20"/>
                <w:szCs w:val="20"/>
              </w:rPr>
              <w:t xml:space="preserve"> </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B40B51">
              <w:rPr>
                <w:rFonts w:eastAsia="Times New Roman" w:cs="Calibri"/>
                <w:color w:val="000000"/>
                <w:sz w:val="20"/>
                <w:szCs w:val="20"/>
              </w:rPr>
              <w:t xml:space="preserve">Where there are data gaps as relates to chemicals pollution, there should be careful retention of such data in the course of implementing this project, as well as key lessons learned in the course of implementation of methods to curtail chemicals pollution from various sources, including the impacts of climate change and variability on the concentration and </w:t>
            </w:r>
            <w:proofErr w:type="spellStart"/>
            <w:r w:rsidRPr="00B40B51">
              <w:rPr>
                <w:rFonts w:eastAsia="Times New Roman" w:cs="Calibri"/>
                <w:color w:val="000000"/>
                <w:sz w:val="20"/>
                <w:szCs w:val="20"/>
              </w:rPr>
              <w:t>behaviour</w:t>
            </w:r>
            <w:proofErr w:type="spellEnd"/>
            <w:r w:rsidRPr="00B40B51">
              <w:rPr>
                <w:rFonts w:eastAsia="Times New Roman" w:cs="Calibri"/>
                <w:color w:val="000000"/>
                <w:sz w:val="20"/>
                <w:szCs w:val="20"/>
              </w:rPr>
              <w:t xml:space="preserve"> of harmful chemicals.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B40B51">
              <w:rPr>
                <w:rFonts w:eastAsia="Times New Roman" w:cs="Calibri"/>
                <w:iCs/>
                <w:color w:val="000000"/>
                <w:sz w:val="20"/>
                <w:szCs w:val="20"/>
              </w:rPr>
              <w:t xml:space="preserve">The Child Project 1.1 includes data compilation using a GIS platform on waste inventories and for tracking of disposal progress. It also proposes collection of data on gender aspects of exposure to these waste sites. Finally it will produce lessons learnt on prevention of new POPs and mercury. </w:t>
            </w:r>
          </w:p>
          <w:p w:rsidR="00B95DB7" w:rsidRPr="00B40B51" w:rsidRDefault="00B95DB7" w:rsidP="00347A50">
            <w:pPr>
              <w:spacing w:after="0" w:line="240" w:lineRule="auto"/>
              <w:rPr>
                <w:rFonts w:eastAsia="Times New Roman" w:cs="Calibri"/>
                <w:iCs/>
                <w:color w:val="000000"/>
                <w:sz w:val="20"/>
                <w:szCs w:val="20"/>
              </w:rPr>
            </w:pPr>
            <w:r w:rsidRPr="00B40B51">
              <w:rPr>
                <w:rFonts w:eastAsia="Times New Roman" w:cs="Calibri"/>
                <w:iCs/>
                <w:color w:val="000000"/>
                <w:sz w:val="20"/>
                <w:szCs w:val="20"/>
              </w:rPr>
              <w:t xml:space="preserve">Through the links with Child Project 4.1 these knowledge products will be retained systematically in the wider KM systems and made available for stakeholders. </w:t>
            </w:r>
          </w:p>
        </w:tc>
      </w:tr>
      <w:tr w:rsidR="00B95DB7" w:rsidRPr="00B40B51" w:rsidTr="001811B4">
        <w:tc>
          <w:tcPr>
            <w:tcW w:w="9350" w:type="dxa"/>
            <w:gridSpan w:val="2"/>
            <w:shd w:val="clear" w:color="auto" w:fill="A6A6A6" w:themeFill="background1" w:themeFillShade="A6"/>
          </w:tcPr>
          <w:p w:rsidR="00B95DB7" w:rsidRPr="00B95DB7" w:rsidRDefault="00B95DB7" w:rsidP="00347A50">
            <w:pPr>
              <w:spacing w:after="0" w:line="240" w:lineRule="auto"/>
              <w:rPr>
                <w:rFonts w:eastAsia="Times New Roman" w:cs="Calibri"/>
                <w:b/>
                <w:bCs/>
                <w:color w:val="000000"/>
                <w:sz w:val="26"/>
                <w:szCs w:val="26"/>
              </w:rPr>
            </w:pPr>
          </w:p>
          <w:p w:rsidR="00B95DB7" w:rsidRPr="001811B4" w:rsidRDefault="00B95DB7" w:rsidP="00347A50">
            <w:pPr>
              <w:spacing w:after="0" w:line="240" w:lineRule="auto"/>
              <w:rPr>
                <w:rFonts w:eastAsia="Times New Roman" w:cs="Calibri"/>
                <w:b/>
                <w:bCs/>
                <w:color w:val="000000"/>
                <w:sz w:val="26"/>
                <w:szCs w:val="26"/>
              </w:rPr>
            </w:pPr>
            <w:r>
              <w:rPr>
                <w:rFonts w:eastAsia="Times New Roman" w:cs="Calibri"/>
                <w:b/>
                <w:bCs/>
                <w:color w:val="000000"/>
                <w:sz w:val="26"/>
                <w:szCs w:val="26"/>
              </w:rPr>
              <w:t xml:space="preserve">GEF Council </w:t>
            </w:r>
            <w:r w:rsidRPr="00B95DB7">
              <w:rPr>
                <w:rFonts w:eastAsia="Times New Roman" w:cs="Calibri"/>
                <w:b/>
                <w:bCs/>
                <w:color w:val="000000"/>
                <w:sz w:val="26"/>
                <w:szCs w:val="26"/>
              </w:rPr>
              <w:t>Review</w:t>
            </w:r>
            <w:r w:rsidRPr="001811B4">
              <w:rPr>
                <w:rFonts w:eastAsia="Times New Roman" w:cs="Calibri"/>
                <w:b/>
                <w:bCs/>
                <w:color w:val="000000"/>
                <w:sz w:val="26"/>
                <w:szCs w:val="26"/>
              </w:rPr>
              <w:t xml:space="preserve"> </w:t>
            </w:r>
          </w:p>
        </w:tc>
      </w:tr>
      <w:tr w:rsidR="00B95DB7" w:rsidRPr="00B95DB7" w:rsidTr="001811B4">
        <w:tc>
          <w:tcPr>
            <w:tcW w:w="5084" w:type="dxa"/>
            <w:shd w:val="clear" w:color="auto" w:fill="D9D9D9" w:themeFill="background1" w:themeFillShade="D9"/>
          </w:tcPr>
          <w:p w:rsidR="00B95DB7" w:rsidRPr="001811B4" w:rsidRDefault="00B95DB7" w:rsidP="00347A50">
            <w:pPr>
              <w:spacing w:after="0" w:line="240" w:lineRule="auto"/>
              <w:rPr>
                <w:bCs/>
                <w:color w:val="000000"/>
                <w:sz w:val="26"/>
                <w:szCs w:val="26"/>
              </w:rPr>
            </w:pPr>
          </w:p>
          <w:p w:rsidR="00B95DB7" w:rsidRPr="001811B4" w:rsidRDefault="00B95DB7" w:rsidP="00347A50">
            <w:pPr>
              <w:spacing w:after="0" w:line="240" w:lineRule="auto"/>
              <w:rPr>
                <w:bCs/>
                <w:color w:val="000000"/>
                <w:sz w:val="26"/>
                <w:szCs w:val="26"/>
              </w:rPr>
            </w:pPr>
            <w:r w:rsidRPr="001811B4">
              <w:rPr>
                <w:bCs/>
                <w:color w:val="000000"/>
                <w:sz w:val="26"/>
                <w:szCs w:val="26"/>
              </w:rPr>
              <w:t>C</w:t>
            </w:r>
            <w:r w:rsidRPr="001811B4">
              <w:rPr>
                <w:rFonts w:eastAsia="Times New Roman" w:cs="Calibri"/>
                <w:bCs/>
                <w:color w:val="000000"/>
                <w:sz w:val="26"/>
                <w:szCs w:val="26"/>
              </w:rPr>
              <w:t>omments</w:t>
            </w:r>
          </w:p>
        </w:tc>
        <w:tc>
          <w:tcPr>
            <w:tcW w:w="4266" w:type="dxa"/>
            <w:shd w:val="clear" w:color="auto" w:fill="D9D9D9" w:themeFill="background1" w:themeFillShade="D9"/>
          </w:tcPr>
          <w:p w:rsidR="00B95DB7" w:rsidRPr="001811B4" w:rsidRDefault="00B95DB7" w:rsidP="00347A50">
            <w:pPr>
              <w:spacing w:after="0" w:line="240" w:lineRule="auto"/>
              <w:rPr>
                <w:rFonts w:eastAsia="Times New Roman" w:cs="Calibri"/>
                <w:b/>
                <w:bCs/>
                <w:color w:val="000000"/>
                <w:sz w:val="26"/>
                <w:szCs w:val="26"/>
              </w:rPr>
            </w:pPr>
          </w:p>
          <w:p w:rsidR="00B95DB7" w:rsidRPr="001811B4" w:rsidRDefault="00B95DB7" w:rsidP="00347A50">
            <w:pPr>
              <w:spacing w:after="0" w:line="240" w:lineRule="auto"/>
              <w:rPr>
                <w:rFonts w:eastAsia="Times New Roman" w:cs="Calibri"/>
                <w:b/>
                <w:bCs/>
                <w:color w:val="000000"/>
                <w:sz w:val="26"/>
                <w:szCs w:val="26"/>
              </w:rPr>
            </w:pPr>
            <w:r w:rsidRPr="001811B4">
              <w:rPr>
                <w:rFonts w:eastAsia="Times New Roman" w:cs="Calibri"/>
                <w:b/>
                <w:bCs/>
                <w:color w:val="000000"/>
                <w:sz w:val="26"/>
                <w:szCs w:val="26"/>
              </w:rPr>
              <w:t>Response</w:t>
            </w:r>
          </w:p>
        </w:tc>
      </w:tr>
      <w:tr w:rsidR="00B95DB7" w:rsidRPr="00E50636" w:rsidTr="00347A50">
        <w:tc>
          <w:tcPr>
            <w:tcW w:w="5084" w:type="dxa"/>
            <w:shd w:val="clear" w:color="auto" w:fill="auto"/>
          </w:tcPr>
          <w:p w:rsidR="00B95DB7" w:rsidRPr="00B40B51" w:rsidRDefault="00B95DB7" w:rsidP="00347A50">
            <w:pPr>
              <w:spacing w:after="0" w:line="240" w:lineRule="auto"/>
              <w:rPr>
                <w:rStyle w:val="CommentReference"/>
                <w:rFonts w:eastAsia="Times New Roman" w:cs="Calibri"/>
                <w:sz w:val="20"/>
                <w:szCs w:val="20"/>
                <w:lang w:val="x-none" w:eastAsia="x-none"/>
              </w:rPr>
            </w:pPr>
            <w:r w:rsidRPr="00B95DB7">
              <w:rPr>
                <w:rStyle w:val="CommentReference"/>
                <w:rFonts w:eastAsia="Times New Roman" w:cs="Calibri"/>
                <w:b/>
                <w:sz w:val="20"/>
                <w:szCs w:val="20"/>
                <w:lang w:eastAsia="x-none"/>
              </w:rPr>
              <w:t>G</w:t>
            </w:r>
            <w:r w:rsidRPr="00B95DB7">
              <w:rPr>
                <w:rStyle w:val="CommentReference"/>
                <w:b/>
                <w:sz w:val="20"/>
                <w:szCs w:val="20"/>
                <w:lang w:eastAsia="x-none"/>
              </w:rPr>
              <w:t>ermany on OUTCOME 1:</w:t>
            </w:r>
            <w:r>
              <w:t xml:space="preserve"> </w:t>
            </w:r>
            <w:r w:rsidRPr="00B95DB7">
              <w:rPr>
                <w:rStyle w:val="CommentReference"/>
                <w:rFonts w:eastAsia="Times New Roman" w:cs="Calibri"/>
                <w:sz w:val="20"/>
                <w:szCs w:val="20"/>
                <w:lang w:val="x-none" w:eastAsia="x-none"/>
              </w:rPr>
              <w:t>Reduction of land-based pollution in priority coastal hotspots and measuring progress to impacts. Germany suggests expanding the suggested focus on chemicals pollution (in particular POPS, PAHs, and mercury) to include also non-industrial sources of POPs of high relevance. Furthermore, a more detailed analysis for each country (how effective support and coordination will be reached) is recommended for better monitoring and evaluation purposes.</w:t>
            </w:r>
          </w:p>
        </w:tc>
        <w:tc>
          <w:tcPr>
            <w:tcW w:w="4266" w:type="dxa"/>
            <w:shd w:val="clear" w:color="auto" w:fill="auto"/>
          </w:tcPr>
          <w:p w:rsidR="00B95DB7" w:rsidRPr="00E50636" w:rsidRDefault="005525E4"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The reduction of land Bases Sources of pollution (LBS) and measuring of progress to impact in the Mediterranean Sea is based on a 15 years cycle stated with the Transboundary Diagnostic Analysis, followed by the preparation and endorsement by the countries of the Strategic Action Plan (SAP) for LBS (SAP-MED) and for Biodiversity (SAP-BIO). The implementation of the two SAPs led to the definition of national Action Plans were the hotspots of intervention in terms of LBS are clearly indicated and agreed upon by the countries. Unfortunately, this process did not included the tracking, monitoring and identification for POPs, PAHs and Mercury. , Nevertheless, the Child Project 1.1 </w:t>
            </w:r>
            <w:r w:rsidR="00F45C7D">
              <w:rPr>
                <w:rFonts w:eastAsia="Times New Roman" w:cs="Calibri"/>
                <w:iCs/>
                <w:color w:val="000000"/>
                <w:sz w:val="20"/>
                <w:szCs w:val="20"/>
              </w:rPr>
              <w:t xml:space="preserve">(GEF ID 9684) </w:t>
            </w:r>
            <w:r>
              <w:rPr>
                <w:rFonts w:eastAsia="Times New Roman" w:cs="Calibri"/>
                <w:iCs/>
                <w:color w:val="000000"/>
                <w:sz w:val="20"/>
                <w:szCs w:val="20"/>
              </w:rPr>
              <w:t xml:space="preserve">of the MedProgramme </w:t>
            </w:r>
            <w:r w:rsidRPr="005525E4">
              <w:rPr>
                <w:rFonts w:eastAsia="Times New Roman" w:cs="Calibri"/>
                <w:iCs/>
                <w:color w:val="000000"/>
                <w:sz w:val="20"/>
                <w:szCs w:val="20"/>
              </w:rPr>
              <w:t xml:space="preserve">addresses non-industrial use of PFOS by </w:t>
            </w:r>
            <w:r w:rsidR="00F45C7D" w:rsidRPr="005525E4">
              <w:rPr>
                <w:rFonts w:eastAsia="Times New Roman" w:cs="Calibri"/>
                <w:iCs/>
                <w:color w:val="000000"/>
                <w:sz w:val="20"/>
                <w:szCs w:val="20"/>
              </w:rPr>
              <w:t>firefighting</w:t>
            </w:r>
            <w:r w:rsidRPr="005525E4">
              <w:rPr>
                <w:rFonts w:eastAsia="Times New Roman" w:cs="Calibri"/>
                <w:iCs/>
                <w:color w:val="000000"/>
                <w:sz w:val="20"/>
                <w:szCs w:val="20"/>
              </w:rPr>
              <w:t xml:space="preserve"> services, in line with the priorities expressed by countries in their NIPs. Country NIPs do not prioritize</w:t>
            </w:r>
            <w:r>
              <w:rPr>
                <w:rFonts w:eastAsia="Times New Roman" w:cs="Calibri"/>
                <w:iCs/>
                <w:color w:val="000000"/>
                <w:sz w:val="20"/>
                <w:szCs w:val="20"/>
              </w:rPr>
              <w:t>. Moreover, the work done by the Barcelona Convention on defining stocks of POPs and Hg in the Mediterranean countries, together with the further development of this information under the MedProgramme will allow a huge step forward in the region to support the countries in their effort of addressing this issue.</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OUTCOME 4:</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Germany welcomes the promotion of an integrated coastal zone management (ICZM). Participatory management, thus the empowerment of user groups into the management decisions as well as the surveillance and monitoring is crucial for the projects’ success. A stronger emphasis on alternative livelihoods for fishing communities is recommended.</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F45C7D" w:rsidP="00347A50">
            <w:pPr>
              <w:spacing w:after="0" w:line="240" w:lineRule="auto"/>
              <w:rPr>
                <w:rFonts w:eastAsia="Times New Roman" w:cs="Calibri"/>
                <w:iCs/>
                <w:color w:val="000000"/>
                <w:sz w:val="20"/>
                <w:szCs w:val="20"/>
              </w:rPr>
            </w:pPr>
            <w:r>
              <w:rPr>
                <w:rFonts w:eastAsia="Times New Roman" w:cs="Calibri"/>
                <w:iCs/>
                <w:color w:val="000000"/>
                <w:sz w:val="20"/>
                <w:szCs w:val="20"/>
              </w:rPr>
              <w:t>Child Project 2.1 (GEF 9687) focuses on m</w:t>
            </w:r>
            <w:r w:rsidRPr="00F45C7D">
              <w:rPr>
                <w:rFonts w:eastAsia="Times New Roman" w:cs="Calibri"/>
                <w:iCs/>
                <w:color w:val="000000"/>
                <w:sz w:val="20"/>
                <w:szCs w:val="20"/>
              </w:rPr>
              <w:t>ajor coastal wetlands, lagoons, humid zones and coastal habitats, providing very valuable services and contributing to coastal livelihoods and biodiversity, are all in part or totally dependent on groundwater regimes.</w:t>
            </w:r>
            <w:r>
              <w:rPr>
                <w:rFonts w:eastAsia="Times New Roman" w:cs="Calibri"/>
                <w:iCs/>
                <w:color w:val="000000"/>
                <w:sz w:val="20"/>
                <w:szCs w:val="20"/>
              </w:rPr>
              <w:t xml:space="preserve"> This included livelihoods for fishing communities. Moreover, being the MedProgramme executed under the umbrella of the Barcelona Convention, it will benefit of the ongoing </w:t>
            </w:r>
            <w:r w:rsidR="00B60E6A">
              <w:rPr>
                <w:rFonts w:eastAsia="Times New Roman" w:cs="Calibri"/>
                <w:iCs/>
                <w:color w:val="000000"/>
                <w:sz w:val="20"/>
                <w:szCs w:val="20"/>
              </w:rPr>
              <w:t>partnership</w:t>
            </w:r>
            <w:r>
              <w:rPr>
                <w:rFonts w:eastAsia="Times New Roman" w:cs="Calibri"/>
                <w:iCs/>
                <w:color w:val="000000"/>
                <w:sz w:val="20"/>
                <w:szCs w:val="20"/>
              </w:rPr>
              <w:t xml:space="preserve"> between the Convention and the General Fishery Commission of the Mediterranean which will introduce elements related to fishing in the Programme. </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OUTCOME 7:</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Germany welcomes the improvement of management capacity as well as the expansion of the Libyan Marine Protected Areas (MPA). It is recommended to incorporate the high importance of artisanal fisheries for local food security and livelihoods. The MPA management plan should imply buffer zones between the MPA and fishing areas. In these small strips local fishermen communities can use an exclusive access (ban for industrial fisheries) and benefit from extensive fisheries. Involvement of fishermen in the management of marine protected areas is crucial for their sustainability.</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F45C7D" w:rsidP="00347A50">
            <w:pPr>
              <w:spacing w:after="0" w:line="240" w:lineRule="auto"/>
              <w:rPr>
                <w:rFonts w:eastAsia="Times New Roman" w:cs="Calibri"/>
                <w:iCs/>
                <w:color w:val="000000"/>
                <w:sz w:val="20"/>
                <w:szCs w:val="20"/>
              </w:rPr>
            </w:pPr>
            <w:r>
              <w:rPr>
                <w:rFonts w:eastAsia="Times New Roman" w:cs="Calibri"/>
                <w:iCs/>
                <w:color w:val="000000"/>
                <w:sz w:val="20"/>
                <w:szCs w:val="20"/>
              </w:rPr>
              <w:t>Artisanal fisheries is included in Child Project 3.1 (GEF ID 10158), concretely in its output 31 where the importance of artisanal fishery is recognized and supported by several activities such as the preparation and dissemination of a</w:t>
            </w:r>
            <w:r w:rsidRPr="00F45C7D">
              <w:rPr>
                <w:rFonts w:eastAsia="Times New Roman" w:cs="Calibri"/>
                <w:iCs/>
                <w:color w:val="000000"/>
                <w:sz w:val="20"/>
                <w:szCs w:val="20"/>
              </w:rPr>
              <w:t xml:space="preserve"> set of communication material to promoting artisanal sustainable fishery heritage in and around the selected MPAs. </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 xml:space="preserve">Germany on </w:t>
            </w:r>
            <w:r w:rsidRPr="00B95DB7">
              <w:rPr>
                <w:rStyle w:val="CommentReference"/>
                <w:b/>
                <w:sz w:val="20"/>
                <w:szCs w:val="20"/>
                <w:lang w:eastAsia="x-none"/>
              </w:rPr>
              <w:t>the MedProgramme</w:t>
            </w:r>
            <w:r w:rsidRPr="00B95DB7">
              <w:rPr>
                <w:rStyle w:val="CommentReference"/>
                <w:rFonts w:eastAsia="Times New Roman" w:cs="Calibri"/>
                <w:b/>
                <w:sz w:val="20"/>
                <w:szCs w:val="20"/>
                <w:lang w:eastAsia="x-none"/>
              </w:rPr>
              <w:t>:</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Lobbying for a higher political prioritization of the implementation of national fishery policies and frameworks promoting sustainable marine resource management.</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B60E6A"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Although this activity is not directly included in the MedProgramme (which mainly addresses the priorities defined by the Mediterranean Countries under the Protocols of the Barcelona Convention), </w:t>
            </w:r>
            <w:r w:rsidRPr="00B60E6A">
              <w:rPr>
                <w:rFonts w:eastAsia="Times New Roman" w:cs="Calibri"/>
                <w:iCs/>
                <w:color w:val="000000"/>
                <w:sz w:val="20"/>
                <w:szCs w:val="20"/>
              </w:rPr>
              <w:t>implementation of national fishery policies and frameworks promoting sustainable marine resource management</w:t>
            </w:r>
            <w:r>
              <w:rPr>
                <w:rFonts w:eastAsia="Times New Roman" w:cs="Calibri"/>
                <w:iCs/>
                <w:color w:val="000000"/>
                <w:sz w:val="20"/>
                <w:szCs w:val="20"/>
              </w:rPr>
              <w:t xml:space="preserve"> it is focus of the collaboration partnership between the Convention and the General Fishery Commission of the Mediterranean. Outcomes and outputs of this partnership will be linked to the MedProgramme.</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the MedProgramme:</w:t>
            </w:r>
            <w:r w:rsidRPr="00B95DB7">
              <w:rPr>
                <w:rFonts w:eastAsia="Times New Roman" w:cs="Calibri"/>
                <w:sz w:val="20"/>
                <w:szCs w:val="20"/>
                <w:lang w:eastAsia="x-none"/>
              </w:rPr>
              <w:t xml:space="preserve"> </w:t>
            </w:r>
            <w:r>
              <w:rPr>
                <w:rFonts w:eastAsia="Times New Roman" w:cs="Calibri"/>
                <w:sz w:val="20"/>
                <w:szCs w:val="20"/>
                <w:lang w:eastAsia="x-none"/>
              </w:rPr>
              <w:t>‘</w:t>
            </w:r>
            <w:r w:rsidRPr="00B95DB7">
              <w:rPr>
                <w:rStyle w:val="CommentReference"/>
                <w:rFonts w:eastAsia="Times New Roman" w:cs="Calibri"/>
                <w:sz w:val="20"/>
                <w:szCs w:val="20"/>
                <w:lang w:eastAsia="x-none"/>
              </w:rPr>
              <w:t>Blue Carbon’ offsets as an economic potential for coastal villages.</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B60E6A"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Although we recognize the importance of the comment made by Germany, </w:t>
            </w:r>
            <w:r>
              <w:rPr>
                <w:rFonts w:eastAsia="Times New Roman" w:cs="Calibri"/>
                <w:sz w:val="20"/>
                <w:szCs w:val="20"/>
                <w:lang w:eastAsia="x-none"/>
              </w:rPr>
              <w:t>‘</w:t>
            </w:r>
            <w:r w:rsidRPr="00B95DB7">
              <w:rPr>
                <w:rStyle w:val="CommentReference"/>
                <w:rFonts w:eastAsia="Times New Roman" w:cs="Calibri"/>
                <w:sz w:val="20"/>
                <w:szCs w:val="20"/>
                <w:lang w:eastAsia="x-none"/>
              </w:rPr>
              <w:t>Blue Carbon’ offsets as an economic potential for coastal villages</w:t>
            </w:r>
            <w:r>
              <w:rPr>
                <w:rStyle w:val="CommentReference"/>
                <w:rFonts w:eastAsia="Times New Roman" w:cs="Calibri"/>
                <w:sz w:val="20"/>
                <w:szCs w:val="20"/>
                <w:lang w:eastAsia="x-none"/>
              </w:rPr>
              <w:t xml:space="preserve"> is not in the scope of the MedProgramme. However, being the Programme executed in the wider framework of the Barcelona Convention process linkages with Blue Carbon offset and related matter will be explored and certainly made if appropriate. </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the MedProgramme:</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Decentralized adaption strategies for the intrusion of saline groundwater into aquifers. In sunny areas PV-driven small-scale desalination plants could allow local approaches.</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C669D3" w:rsidP="00347A50">
            <w:pPr>
              <w:spacing w:after="0" w:line="240" w:lineRule="auto"/>
              <w:rPr>
                <w:rFonts w:eastAsia="Times New Roman" w:cs="Calibri"/>
                <w:iCs/>
                <w:color w:val="000000"/>
                <w:sz w:val="20"/>
                <w:szCs w:val="20"/>
              </w:rPr>
            </w:pPr>
            <w:r>
              <w:rPr>
                <w:rFonts w:eastAsia="Times New Roman" w:cs="Calibri"/>
                <w:iCs/>
                <w:color w:val="000000"/>
                <w:sz w:val="20"/>
                <w:szCs w:val="20"/>
              </w:rPr>
              <w:t>Although we recognize the importance a</w:t>
            </w:r>
            <w:r>
              <w:rPr>
                <w:iCs/>
                <w:color w:val="000000"/>
              </w:rPr>
              <w:t xml:space="preserve">nd </w:t>
            </w:r>
            <w:proofErr w:type="spellStart"/>
            <w:r>
              <w:rPr>
                <w:iCs/>
                <w:color w:val="000000"/>
              </w:rPr>
              <w:t>tehcnial</w:t>
            </w:r>
            <w:proofErr w:type="spellEnd"/>
            <w:r>
              <w:rPr>
                <w:iCs/>
                <w:color w:val="000000"/>
              </w:rPr>
              <w:t xml:space="preserve"> relevance of the comment made by Germany, desalination plan/processes/standards are not eligible under GEF 6 therefore have been removed by the Programme. Nevertheless, under Child project 1.2 (GEF ID 9717), the Barcelona Convention will develop</w:t>
            </w:r>
            <w:r>
              <w:t xml:space="preserve"> </w:t>
            </w:r>
            <w:r w:rsidRPr="00C669D3">
              <w:rPr>
                <w:iCs/>
                <w:color w:val="000000"/>
              </w:rPr>
              <w:t>common environmental standards on desalination</w:t>
            </w:r>
            <w:r>
              <w:rPr>
                <w:iCs/>
                <w:color w:val="000000"/>
              </w:rPr>
              <w:t xml:space="preserve"> for the Mediterranean Region by using NON-GEF funds. These standards will be submitted to the Conference of Contracting Parties of the Convention for consideration. If approved they will be the first step to support the approach suggested by Germany.</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the MedProgramme:</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The involvement of wastewater reuse and freshwater consumption reduction strategies</w:t>
            </w:r>
            <w:r w:rsidR="001811B4">
              <w:rPr>
                <w:rStyle w:val="CommentReference"/>
                <w:rFonts w:eastAsia="Times New Roman" w:cs="Calibri"/>
                <w:sz w:val="20"/>
                <w:szCs w:val="20"/>
                <w:lang w:eastAsia="x-none"/>
              </w:rPr>
              <w:t>.</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A76B44"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Child Project 1.2 (GEF ID 9717) is promoting </w:t>
            </w:r>
            <w:r w:rsidRPr="00A76B44">
              <w:rPr>
                <w:rFonts w:eastAsia="Times New Roman" w:cs="Calibri"/>
                <w:iCs/>
                <w:color w:val="000000"/>
                <w:sz w:val="20"/>
                <w:szCs w:val="20"/>
              </w:rPr>
              <w:t>investments at national level will focus on WWTP Extension and upgrade including treated wastewater reuse/reinjection (MAR)</w:t>
            </w:r>
            <w:r>
              <w:rPr>
                <w:rFonts w:eastAsia="Times New Roman" w:cs="Calibri"/>
                <w:iCs/>
                <w:color w:val="000000"/>
                <w:sz w:val="20"/>
                <w:szCs w:val="20"/>
              </w:rPr>
              <w:t xml:space="preserve"> to decrease water consumption in the countries where national actions will take place (Egypt, Lebanon and Tunisia). Moreover the same Child Project will develop  r</w:t>
            </w:r>
            <w:r w:rsidRPr="00A76B44">
              <w:rPr>
                <w:rFonts w:eastAsia="Times New Roman" w:cs="Calibri"/>
                <w:iCs/>
                <w:color w:val="000000"/>
                <w:sz w:val="20"/>
                <w:szCs w:val="20"/>
              </w:rPr>
              <w:t>egional standards on wastewater management</w:t>
            </w:r>
            <w:r>
              <w:rPr>
                <w:rFonts w:eastAsia="Times New Roman" w:cs="Calibri"/>
                <w:iCs/>
                <w:color w:val="000000"/>
                <w:sz w:val="20"/>
                <w:szCs w:val="20"/>
              </w:rPr>
              <w:t xml:space="preserve"> (including reuse)</w:t>
            </w:r>
            <w:r w:rsidRPr="00A76B44">
              <w:rPr>
                <w:rFonts w:eastAsia="Times New Roman" w:cs="Calibri"/>
                <w:iCs/>
                <w:color w:val="000000"/>
                <w:sz w:val="20"/>
                <w:szCs w:val="20"/>
              </w:rPr>
              <w:t xml:space="preserve"> for deliberation of the Contracting Parties of the Barcelona Convention.</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1811B4" w:rsidP="00347A50">
            <w:pPr>
              <w:spacing w:after="0" w:line="240" w:lineRule="auto"/>
              <w:rPr>
                <w:rStyle w:val="CommentReference"/>
                <w:rFonts w:eastAsia="Times New Roman" w:cs="Calibri"/>
                <w:b/>
                <w:sz w:val="20"/>
                <w:szCs w:val="20"/>
                <w:lang w:eastAsia="x-none"/>
              </w:rPr>
            </w:pPr>
            <w:r w:rsidRPr="00B95DB7">
              <w:rPr>
                <w:rStyle w:val="CommentReference"/>
                <w:rFonts w:eastAsia="Times New Roman" w:cs="Calibri"/>
                <w:b/>
                <w:sz w:val="20"/>
                <w:szCs w:val="20"/>
                <w:lang w:eastAsia="x-none"/>
              </w:rPr>
              <w:t>Germany on the MedProgramme</w:t>
            </w:r>
            <w:r>
              <w:rPr>
                <w:rStyle w:val="CommentReference"/>
                <w:rFonts w:eastAsia="Times New Roman" w:cs="Calibri"/>
                <w:b/>
                <w:sz w:val="20"/>
                <w:szCs w:val="20"/>
                <w:lang w:eastAsia="x-none"/>
              </w:rPr>
              <w:t>:</w:t>
            </w:r>
            <w:r w:rsidRPr="001811B4">
              <w:t xml:space="preserve"> </w:t>
            </w:r>
            <w:r w:rsidRPr="001811B4">
              <w:rPr>
                <w:rStyle w:val="CommentReference"/>
                <w:rFonts w:eastAsia="Times New Roman" w:cs="Calibri"/>
                <w:sz w:val="20"/>
                <w:szCs w:val="20"/>
                <w:lang w:eastAsia="x-none"/>
              </w:rPr>
              <w:t>More investments into wastewater-treatment facilities for the reduction of heavy metals, endocrine disrupters, plastic and other pollutants as runoff in the Mediterranean Sea.</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5624EE" w:rsidP="00347A50">
            <w:pPr>
              <w:spacing w:after="0" w:line="240" w:lineRule="auto"/>
              <w:rPr>
                <w:rFonts w:eastAsia="Times New Roman" w:cs="Calibri"/>
                <w:iCs/>
                <w:color w:val="000000"/>
                <w:sz w:val="20"/>
                <w:szCs w:val="20"/>
              </w:rPr>
            </w:pPr>
            <w:r>
              <w:rPr>
                <w:rFonts w:eastAsia="Times New Roman" w:cs="Calibri"/>
                <w:iCs/>
                <w:color w:val="000000"/>
                <w:sz w:val="20"/>
                <w:szCs w:val="20"/>
              </w:rPr>
              <w:t>Under Child Project 1.2 (GEF ID 9717) EIB will mobile more than USD 600M in investments on WWT facilities in Egypt, Lebanon and Tunisia. Moreover, the MedProgramme is already generating interest of other potential investors to engage in advanced WWTP in the region to achieve reduction of LBS of pollution and increase climate change adaptation resilience.</w:t>
            </w:r>
          </w:p>
        </w:tc>
      </w:tr>
    </w:tbl>
    <w:p w:rsidR="00B95DB7" w:rsidRPr="00B40B51" w:rsidRDefault="00B95DB7" w:rsidP="00B95DB7">
      <w:pPr>
        <w:spacing w:after="0" w:line="240" w:lineRule="auto"/>
        <w:rPr>
          <w:rFonts w:cs="Calibri"/>
          <w:b/>
          <w:bCs/>
          <w:iCs/>
          <w:color w:val="000000"/>
        </w:rPr>
      </w:pPr>
    </w:p>
    <w:p w:rsidR="00B95DB7" w:rsidRDefault="00B95DB7" w:rsidP="00B95DB7">
      <w:pPr>
        <w:spacing w:after="0" w:line="240" w:lineRule="auto"/>
        <w:rPr>
          <w:rFonts w:cs="Calibri"/>
          <w:b/>
          <w:bCs/>
          <w:iCs/>
          <w:color w:val="000000"/>
        </w:rPr>
      </w:pPr>
    </w:p>
    <w:p w:rsidR="00031CA6" w:rsidRDefault="00031CA6"/>
    <w:sectPr w:rsidR="00031C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DB7"/>
    <w:rsid w:val="00031CA6"/>
    <w:rsid w:val="001811B4"/>
    <w:rsid w:val="005525E4"/>
    <w:rsid w:val="005624EE"/>
    <w:rsid w:val="009D0D47"/>
    <w:rsid w:val="00A76B44"/>
    <w:rsid w:val="00B60E6A"/>
    <w:rsid w:val="00B95DB7"/>
    <w:rsid w:val="00C669D3"/>
    <w:rsid w:val="00E05819"/>
    <w:rsid w:val="00F064E5"/>
    <w:rsid w:val="00F45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E79E54-6C9E-4013-B662-E1107DAC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5DB7"/>
    <w:pPr>
      <w:spacing w:after="200" w:line="276" w:lineRule="auto"/>
    </w:pPr>
    <w:rPr>
      <w:rFonts w:ascii="Calibri" w:eastAsia="SimSu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rsid w:val="00B95DB7"/>
    <w:rPr>
      <w:sz w:val="16"/>
      <w:szCs w:val="16"/>
    </w:rPr>
  </w:style>
  <w:style w:type="paragraph" w:styleId="CommentText">
    <w:name w:val="annotation text"/>
    <w:basedOn w:val="Normal"/>
    <w:link w:val="CommentTextChar"/>
    <w:uiPriority w:val="99"/>
    <w:rsid w:val="00B95DB7"/>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basedOn w:val="DefaultParagraphFont"/>
    <w:link w:val="CommentText"/>
    <w:uiPriority w:val="99"/>
    <w:rsid w:val="00B95DB7"/>
    <w:rPr>
      <w:rFonts w:ascii="Times New Roman" w:eastAsia="Times New Roman" w:hAnsi="Times New Roman" w:cs="Times New Roman"/>
      <w:sz w:val="20"/>
      <w:szCs w:val="20"/>
      <w:lang w:val="x-none" w:eastAsia="x-none"/>
    </w:rPr>
  </w:style>
  <w:style w:type="paragraph" w:styleId="BalloonText">
    <w:name w:val="Balloon Text"/>
    <w:basedOn w:val="Normal"/>
    <w:link w:val="BalloonTextChar"/>
    <w:uiPriority w:val="99"/>
    <w:semiHidden/>
    <w:unhideWhenUsed/>
    <w:rsid w:val="00B95D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5DB7"/>
    <w:rPr>
      <w:rFonts w:ascii="Segoe UI" w:eastAsia="SimSu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9687</GEFID>
    <ProjectType xmlns="ceb00776-aa5c-4fc8-b6fe-5f035152e4b6">FSP</ProjectType>
    <GEFProjectID xmlns="ceb00776-aa5c-4fc8-b6fe-5f035152e4b6">b0b2de63-df7c-e811-8124-3863bb2e1360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Mediterranean Coastal Zones Climate Resilience Water Security and Habitat Protection</ProjectTitle>
    <TrustFundType xmlns="ceb00776-aa5c-4fc8-b6fe-5f035152e4b6">GET</TrustFundType>
    <TaxCatchAll xmlns="3e02667f-0271-471b-bd6e-11a2e16def1d"/>
    <DocumentTitle xmlns="ceb00776-aa5c-4fc8-b6fe-5f035152e4b6">Addendum to ANNEX B containing Council and STAP comments and responses</DocumentTitle>
  </documentManagement>
</p:properties>
</file>

<file path=customXml/itemProps1.xml><?xml version="1.0" encoding="utf-8"?>
<ds:datastoreItem xmlns:ds="http://schemas.openxmlformats.org/officeDocument/2006/customXml" ds:itemID="{E13CE5A1-3E7F-4459-AA34-15AEC9015C29}"/>
</file>

<file path=customXml/itemProps2.xml><?xml version="1.0" encoding="utf-8"?>
<ds:datastoreItem xmlns:ds="http://schemas.openxmlformats.org/officeDocument/2006/customXml" ds:itemID="{7BC9AD49-8156-4541-8DF1-988F029D5D2E}"/>
</file>

<file path=customXml/itemProps3.xml><?xml version="1.0" encoding="utf-8"?>
<ds:datastoreItem xmlns:ds="http://schemas.openxmlformats.org/officeDocument/2006/customXml" ds:itemID="{CDC9A7D2-8549-4BC7-8326-4F49498546B6}"/>
</file>

<file path=docProps/app.xml><?xml version="1.0" encoding="utf-8"?>
<Properties xmlns="http://schemas.openxmlformats.org/officeDocument/2006/extended-properties" xmlns:vt="http://schemas.openxmlformats.org/officeDocument/2006/docPropsVTypes">
  <Template>Normal.dotm</Template>
  <TotalTime>1</TotalTime>
  <Pages>3</Pages>
  <Words>2350</Words>
  <Characters>13400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Galbiati</dc:creator>
  <cp:keywords/>
  <dc:description/>
  <cp:lastModifiedBy>Steffen Cole Brandstrup Hansen</cp:lastModifiedBy>
  <cp:revision>2</cp:revision>
  <dcterms:created xsi:type="dcterms:W3CDTF">2019-07-19T21:29:00Z</dcterms:created>
  <dcterms:modified xsi:type="dcterms:W3CDTF">2019-07-19T21:29:00Z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